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42D7" w14:textId="77777777" w:rsidR="003D00EA" w:rsidRPr="00FA5EC4" w:rsidRDefault="003D00EA" w:rsidP="003D00EA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Toc505074813"/>
    </w:p>
    <w:p w14:paraId="2E42168F" w14:textId="03B96AF2" w:rsidR="003D00EA" w:rsidRPr="00FA5EC4" w:rsidRDefault="005C5BB7" w:rsidP="00D22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spacing w:before="240" w:after="200" w:line="276" w:lineRule="auto"/>
        <w:jc w:val="center"/>
        <w:rPr>
          <w:rFonts w:asciiTheme="minorHAnsi" w:eastAsia="Arial" w:hAnsiTheme="minorHAnsi" w:cstheme="minorHAnsi"/>
          <w:b/>
          <w:sz w:val="28"/>
          <w:szCs w:val="28"/>
          <w:lang w:eastAsia="fr-FR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Relevé de décisions</w:t>
      </w:r>
    </w:p>
    <w:p w14:paraId="2B4C3265" w14:textId="430824CB" w:rsidR="00D467F3" w:rsidRPr="00D2286D" w:rsidRDefault="00C971C3" w:rsidP="00D228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00" w:line="276" w:lineRule="auto"/>
        <w:jc w:val="center"/>
        <w:rPr>
          <w:rFonts w:asciiTheme="minorHAnsi" w:eastAsia="Calibri" w:hAnsiTheme="minorHAnsi" w:cstheme="minorHAnsi"/>
          <w:sz w:val="28"/>
          <w:szCs w:val="28"/>
          <w:lang w:eastAsia="fr-FR"/>
        </w:rPr>
      </w:pPr>
      <w:r w:rsidRPr="00FA5EC4">
        <w:rPr>
          <w:rFonts w:asciiTheme="minorHAnsi" w:eastAsia="Calibri" w:hAnsiTheme="minorHAnsi" w:cstheme="minorHAnsi"/>
          <w:sz w:val="28"/>
          <w:szCs w:val="28"/>
          <w:lang w:eastAsia="fr-FR"/>
        </w:rPr>
        <w:t xml:space="preserve">Comité régional de suivi </w:t>
      </w:r>
      <w:r w:rsidR="00435B59">
        <w:rPr>
          <w:rFonts w:asciiTheme="minorHAnsi" w:eastAsia="Calibri" w:hAnsiTheme="minorHAnsi" w:cstheme="minorHAnsi"/>
          <w:sz w:val="28"/>
          <w:szCs w:val="28"/>
          <w:lang w:eastAsia="fr-FR"/>
        </w:rPr>
        <w:t xml:space="preserve">FEADER </w:t>
      </w:r>
      <w:r w:rsidRPr="00FA5EC4">
        <w:rPr>
          <w:rFonts w:asciiTheme="minorHAnsi" w:eastAsia="Calibri" w:hAnsiTheme="minorHAnsi" w:cstheme="minorHAnsi"/>
          <w:sz w:val="28"/>
          <w:szCs w:val="28"/>
          <w:lang w:eastAsia="fr-FR"/>
        </w:rPr>
        <w:t xml:space="preserve">Occitanie 2023-2027 </w:t>
      </w:r>
    </w:p>
    <w:p w14:paraId="68CC5C85" w14:textId="5C70A32F" w:rsidR="003D00EA" w:rsidRPr="00FA5EC4" w:rsidRDefault="005C5BB7" w:rsidP="003D00EA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365F91"/>
          <w:sz w:val="72"/>
          <w:szCs w:val="72"/>
        </w:rPr>
      </w:pPr>
      <w:r>
        <w:rPr>
          <w:rFonts w:asciiTheme="minorHAnsi" w:eastAsia="Calibri" w:hAnsiTheme="minorHAnsi" w:cstheme="minorHAnsi"/>
          <w:b/>
          <w:color w:val="365F91"/>
          <w:sz w:val="72"/>
          <w:szCs w:val="72"/>
        </w:rPr>
        <w:t>RELEV</w:t>
      </w:r>
      <w:r w:rsidR="00D467F3">
        <w:rPr>
          <w:rFonts w:asciiTheme="minorHAnsi" w:eastAsia="Calibri" w:hAnsiTheme="minorHAnsi" w:cstheme="minorHAnsi"/>
          <w:b/>
          <w:color w:val="365F91"/>
          <w:sz w:val="72"/>
          <w:szCs w:val="72"/>
        </w:rPr>
        <w:t>É</w:t>
      </w:r>
      <w:r>
        <w:rPr>
          <w:rFonts w:asciiTheme="minorHAnsi" w:eastAsia="Calibri" w:hAnsiTheme="minorHAnsi" w:cstheme="minorHAnsi"/>
          <w:b/>
          <w:color w:val="365F91"/>
          <w:sz w:val="72"/>
          <w:szCs w:val="72"/>
        </w:rPr>
        <w:t xml:space="preserve"> DE D</w:t>
      </w:r>
      <w:r w:rsidR="00D467F3">
        <w:rPr>
          <w:rFonts w:asciiTheme="minorHAnsi" w:eastAsia="Calibri" w:hAnsiTheme="minorHAnsi" w:cstheme="minorHAnsi"/>
          <w:b/>
          <w:color w:val="365F91"/>
          <w:sz w:val="72"/>
          <w:szCs w:val="72"/>
        </w:rPr>
        <w:t>É</w:t>
      </w:r>
      <w:r>
        <w:rPr>
          <w:rFonts w:asciiTheme="minorHAnsi" w:eastAsia="Calibri" w:hAnsiTheme="minorHAnsi" w:cstheme="minorHAnsi"/>
          <w:b/>
          <w:color w:val="365F91"/>
          <w:sz w:val="72"/>
          <w:szCs w:val="72"/>
        </w:rPr>
        <w:t>CISIONS</w:t>
      </w:r>
    </w:p>
    <w:bookmarkEnd w:id="0"/>
    <w:p w14:paraId="39F0A916" w14:textId="7868025C" w:rsidR="00064F23" w:rsidRPr="00EB5849" w:rsidRDefault="008F4D1E" w:rsidP="00064F23">
      <w:pPr>
        <w:tabs>
          <w:tab w:val="left" w:pos="709"/>
        </w:tabs>
        <w:spacing w:line="276" w:lineRule="auto"/>
        <w:jc w:val="both"/>
        <w:rPr>
          <w:rFonts w:asciiTheme="minorHAnsi" w:eastAsia="Arial" w:hAnsiTheme="minorHAnsi" w:cstheme="minorHAnsi"/>
          <w:i/>
          <w:sz w:val="22"/>
          <w:szCs w:val="22"/>
          <w:lang w:eastAsia="fr-FR"/>
        </w:rPr>
      </w:pPr>
      <w:r w:rsidRPr="00EB5849">
        <w:rPr>
          <w:rFonts w:asciiTheme="minorHAnsi" w:eastAsia="Arial" w:hAnsiTheme="minorHAnsi" w:cstheme="minorHAnsi"/>
          <w:i/>
          <w:sz w:val="22"/>
          <w:szCs w:val="22"/>
          <w:lang w:eastAsia="fr-FR"/>
        </w:rPr>
        <w:t xml:space="preserve">Le présent document contient les informations relatives à la consultation </w:t>
      </w:r>
      <w:r w:rsidR="00D2286D" w:rsidRPr="00EB5849">
        <w:rPr>
          <w:rFonts w:asciiTheme="minorHAnsi" w:eastAsia="Arial" w:hAnsiTheme="minorHAnsi" w:cstheme="minorHAnsi"/>
          <w:i/>
          <w:sz w:val="22"/>
          <w:szCs w:val="22"/>
          <w:lang w:eastAsia="fr-FR"/>
        </w:rPr>
        <w:t xml:space="preserve">écrite </w:t>
      </w:r>
      <w:r w:rsidRPr="00EB5849">
        <w:rPr>
          <w:rFonts w:asciiTheme="minorHAnsi" w:eastAsia="Arial" w:hAnsiTheme="minorHAnsi" w:cstheme="minorHAnsi"/>
          <w:i/>
          <w:sz w:val="22"/>
          <w:szCs w:val="22"/>
          <w:lang w:eastAsia="fr-FR"/>
        </w:rPr>
        <w:t xml:space="preserve">du Comité régional de suivi FEADER Occitanie 2023-2027 </w:t>
      </w:r>
      <w:r w:rsidR="00D2286D" w:rsidRPr="00EB5849">
        <w:rPr>
          <w:rFonts w:asciiTheme="minorHAnsi" w:eastAsia="Arial" w:hAnsiTheme="minorHAnsi" w:cstheme="minorHAnsi"/>
          <w:i/>
          <w:sz w:val="22"/>
          <w:szCs w:val="22"/>
          <w:lang w:eastAsia="fr-FR"/>
        </w:rPr>
        <w:t xml:space="preserve">sur la période du </w:t>
      </w:r>
      <w:r w:rsidR="00070F40" w:rsidRPr="00EB5849">
        <w:rPr>
          <w:rFonts w:asciiTheme="minorHAnsi" w:eastAsia="Arial" w:hAnsiTheme="minorHAnsi" w:cstheme="minorHAnsi"/>
          <w:i/>
          <w:sz w:val="22"/>
          <w:szCs w:val="22"/>
          <w:lang w:eastAsia="fr-FR"/>
        </w:rPr>
        <w:t>16 au 26 juin 2025.</w:t>
      </w:r>
    </w:p>
    <w:p w14:paraId="696AD8B2" w14:textId="77777777" w:rsidR="00D2286D" w:rsidRPr="00EB5849" w:rsidRDefault="00D2286D" w:rsidP="00064F23">
      <w:pPr>
        <w:tabs>
          <w:tab w:val="left" w:pos="709"/>
        </w:tabs>
        <w:spacing w:line="276" w:lineRule="auto"/>
        <w:jc w:val="both"/>
        <w:rPr>
          <w:rFonts w:asciiTheme="minorHAnsi" w:eastAsia="Arial" w:hAnsiTheme="minorHAnsi" w:cstheme="minorHAnsi"/>
          <w:i/>
          <w:sz w:val="22"/>
          <w:szCs w:val="22"/>
          <w:lang w:eastAsia="fr-FR"/>
        </w:rPr>
      </w:pPr>
    </w:p>
    <w:p w14:paraId="0A8ED7DF" w14:textId="6C094032" w:rsidR="00C971C3" w:rsidRPr="00EB5849" w:rsidRDefault="000F5DAB" w:rsidP="00064F23">
      <w:pPr>
        <w:tabs>
          <w:tab w:val="left" w:pos="709"/>
        </w:tabs>
        <w:spacing w:line="276" w:lineRule="auto"/>
        <w:jc w:val="both"/>
        <w:rPr>
          <w:rFonts w:asciiTheme="minorHAnsi" w:eastAsia="Calibri" w:hAnsiTheme="minorHAnsi" w:cstheme="minorHAnsi"/>
          <w:b/>
          <w:sz w:val="28"/>
          <w:szCs w:val="28"/>
          <w:lang w:eastAsia="fr-FR"/>
        </w:rPr>
      </w:pPr>
      <w:r w:rsidRPr="00EB5849">
        <w:rPr>
          <w:rFonts w:asciiTheme="minorHAnsi" w:eastAsia="Calibri" w:hAnsiTheme="minorHAnsi" w:cstheme="minorHAnsi"/>
          <w:b/>
          <w:sz w:val="28"/>
          <w:szCs w:val="28"/>
          <w:lang w:eastAsia="fr-FR"/>
        </w:rPr>
        <w:t>Rappel de l’ordre du jour</w:t>
      </w:r>
    </w:p>
    <w:p w14:paraId="75FC9286" w14:textId="77777777" w:rsidR="00174731" w:rsidRPr="00EB5849" w:rsidRDefault="00174731">
      <w:pPr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289F49FB" w14:textId="45BF215A" w:rsidR="00EC596C" w:rsidRDefault="000F5DAB" w:rsidP="00EC596C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  <w:bookmarkStart w:id="1" w:name="_Hlk129878444"/>
      <w:r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>Conformément au</w:t>
      </w:r>
      <w:r w:rsidR="00601301"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 Règlement (UE) N°2021/2115</w:t>
      </w:r>
      <w:bookmarkEnd w:id="1"/>
      <w:r w:rsidR="00601301"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, le </w:t>
      </w:r>
      <w:r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>C</w:t>
      </w:r>
      <w:r w:rsidR="00601301"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>omité de suivi</w:t>
      </w:r>
      <w:r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 Occitanie 2023-2027</w:t>
      </w:r>
      <w:r w:rsidR="00601301"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 </w:t>
      </w:r>
      <w:r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a été consulté sur </w:t>
      </w:r>
      <w:r w:rsidR="00EC596C" w:rsidRPr="00EB5849">
        <w:rPr>
          <w:rFonts w:asciiTheme="minorHAnsi" w:eastAsia="Arial" w:hAnsiTheme="minorHAnsi" w:cstheme="minorHAnsi"/>
          <w:sz w:val="22"/>
          <w:szCs w:val="22"/>
          <w:lang w:eastAsia="fr-FR"/>
        </w:rPr>
        <w:t>la grille de sélection du Dispositif Unique-Exploitations agricoles :</w:t>
      </w:r>
    </w:p>
    <w:p w14:paraId="506F65AB" w14:textId="5C9C2125" w:rsidR="004F09CE" w:rsidRDefault="004F09CE" w:rsidP="00EC596C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6CB061FA" w14:textId="45ABB658" w:rsidR="004F09CE" w:rsidRDefault="004F09CE" w:rsidP="00EC596C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23493308" w14:textId="77777777" w:rsidR="004F09CE" w:rsidRPr="004F09CE" w:rsidRDefault="004F09CE" w:rsidP="004F09CE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  <w:r w:rsidRPr="004F09CE">
        <w:rPr>
          <w:rFonts w:asciiTheme="minorHAnsi" w:eastAsia="Arial" w:hAnsiTheme="minorHAnsi" w:cstheme="minorHAnsi"/>
          <w:sz w:val="22"/>
          <w:szCs w:val="22"/>
          <w:lang w:eastAsia="fr-FR"/>
        </w:rPr>
        <w:t>Les modifications apportées aux grilles de sélection sont visibles en mode « révisions apparentes » en annexe.</w:t>
      </w:r>
    </w:p>
    <w:p w14:paraId="4A378835" w14:textId="77777777" w:rsidR="004F09CE" w:rsidRPr="004F09CE" w:rsidRDefault="004F09CE" w:rsidP="004F09CE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6D085A9C" w14:textId="4E7C5E59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  <w:r>
        <w:rPr>
          <w:rFonts w:asciiTheme="minorHAnsi" w:eastAsia="Arial" w:hAnsiTheme="minorHAnsi" w:cstheme="minorHAnsi"/>
          <w:noProof/>
          <w:color w:val="4472C4" w:themeColor="accent5"/>
          <w:sz w:val="22"/>
          <w:szCs w:val="22"/>
          <w:lang w:eastAsia="fr-FR"/>
        </w:rPr>
        <w:lastRenderedPageBreak/>
        <w:drawing>
          <wp:inline distT="0" distB="0" distL="0" distR="0" wp14:anchorId="55DA021E" wp14:editId="5C1937BE">
            <wp:extent cx="6389370" cy="78460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784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ACB08" w14:textId="3E1BE106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4E948B54" w14:textId="33B201CA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4EFB67EA" w14:textId="1DCE6B6E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12FC1243" w14:textId="6B5549C3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41FBAB3C" w14:textId="6EE4FE20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61F60FF4" w14:textId="37CEE712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178378CE" w14:textId="29BE3374" w:rsidR="00EC596C" w:rsidRDefault="00EC596C" w:rsidP="00EC596C">
      <w:pPr>
        <w:jc w:val="both"/>
        <w:rPr>
          <w:rFonts w:asciiTheme="minorHAnsi" w:eastAsia="Arial" w:hAnsiTheme="minorHAnsi" w:cstheme="minorHAnsi"/>
          <w:color w:val="4472C4" w:themeColor="accent5"/>
          <w:sz w:val="22"/>
          <w:szCs w:val="22"/>
          <w:lang w:eastAsia="fr-FR"/>
        </w:rPr>
      </w:pPr>
    </w:p>
    <w:p w14:paraId="36E55E1D" w14:textId="77777777" w:rsidR="00EC596C" w:rsidRDefault="00EC596C" w:rsidP="00EC596C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3D26C1B0" w14:textId="57962A66" w:rsidR="000F5DAB" w:rsidRDefault="000F5DAB" w:rsidP="00EC596C">
      <w:pPr>
        <w:jc w:val="both"/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</w:pPr>
      <w:r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  <w:t xml:space="preserve">Avis </w:t>
      </w:r>
      <w:r w:rsidR="00B4409A"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  <w:t xml:space="preserve">donnés </w:t>
      </w:r>
      <w:r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  <w:t>dans le cadre de la consultation</w:t>
      </w:r>
    </w:p>
    <w:p w14:paraId="3B8E5066" w14:textId="5D8DCCF7" w:rsidR="000E50A5" w:rsidRDefault="000E50A5" w:rsidP="00D2286D">
      <w:pPr>
        <w:tabs>
          <w:tab w:val="left" w:pos="4654"/>
        </w:tabs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1BFBF7B6" w14:textId="23FD0A21" w:rsidR="008F4D1E" w:rsidRDefault="00D2286D" w:rsidP="007C0DF0">
      <w:pPr>
        <w:tabs>
          <w:tab w:val="left" w:pos="4654"/>
        </w:tabs>
        <w:ind w:right="-141"/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  <w:r w:rsidRPr="00D2286D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Cette consultation a fait l’objet de </w:t>
      </w:r>
      <w:r>
        <w:rPr>
          <w:rFonts w:asciiTheme="minorHAnsi" w:eastAsia="Arial" w:hAnsiTheme="minorHAnsi" w:cstheme="minorHAnsi"/>
          <w:sz w:val="22"/>
          <w:szCs w:val="22"/>
          <w:lang w:eastAsia="fr-FR"/>
        </w:rPr>
        <w:t>remarque</w:t>
      </w:r>
      <w:r w:rsidRPr="00D2286D">
        <w:rPr>
          <w:rFonts w:asciiTheme="minorHAnsi" w:eastAsia="Arial" w:hAnsiTheme="minorHAnsi" w:cstheme="minorHAnsi"/>
          <w:sz w:val="22"/>
          <w:szCs w:val="22"/>
          <w:lang w:eastAsia="fr-FR"/>
        </w:rPr>
        <w:t>s de plusieurs structures sur certains critères de sélection qui sont repris ci-après</w:t>
      </w:r>
      <w:r>
        <w:rPr>
          <w:rFonts w:asciiTheme="minorHAnsi" w:eastAsia="Arial" w:hAnsiTheme="minorHAnsi" w:cstheme="minorHAnsi"/>
          <w:sz w:val="22"/>
          <w:szCs w:val="22"/>
          <w:lang w:eastAsia="fr-FR"/>
        </w:rPr>
        <w:t> :</w:t>
      </w:r>
    </w:p>
    <w:p w14:paraId="3D7A6B21" w14:textId="1C6CB458" w:rsidR="000E50A5" w:rsidRDefault="000E50A5" w:rsidP="007C0DF0">
      <w:pPr>
        <w:tabs>
          <w:tab w:val="left" w:pos="4654"/>
        </w:tabs>
        <w:ind w:right="-141"/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2EDFC9CA" w14:textId="5DBEF1F9" w:rsidR="00170541" w:rsidRDefault="00170541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</w:p>
    <w:p w14:paraId="0155CE14" w14:textId="2A96B0F0" w:rsidR="00170541" w:rsidRPr="00DC51C2" w:rsidRDefault="00170541" w:rsidP="00DC51C2">
      <w:pPr>
        <w:pStyle w:val="Paragraphedeliste"/>
        <w:numPr>
          <w:ilvl w:val="0"/>
          <w:numId w:val="38"/>
        </w:num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 w:rsidRPr="00DC51C2">
        <w:rPr>
          <w:rFonts w:asciiTheme="minorHAnsi" w:eastAsia="Arial" w:hAnsiTheme="minorHAnsi" w:cstheme="minorHAnsi"/>
          <w:lang w:eastAsia="fr-FR"/>
        </w:rPr>
        <w:t xml:space="preserve">Avis de l’Association pour le développement de l’emploi agricole et rural en Occitanie (ARDEAR) du 26 juin 2025 sur l’augmentation de 30 à 40 points pour les démarches </w:t>
      </w:r>
      <w:proofErr w:type="gramStart"/>
      <w:r w:rsidRPr="00DC51C2">
        <w:rPr>
          <w:rFonts w:asciiTheme="minorHAnsi" w:eastAsia="Arial" w:hAnsiTheme="minorHAnsi" w:cstheme="minorHAnsi"/>
          <w:lang w:eastAsia="fr-FR"/>
        </w:rPr>
        <w:t>collectives  concernant</w:t>
      </w:r>
      <w:proofErr w:type="gramEnd"/>
      <w:r w:rsidRPr="00DC51C2">
        <w:rPr>
          <w:rFonts w:asciiTheme="minorHAnsi" w:eastAsia="Arial" w:hAnsiTheme="minorHAnsi" w:cstheme="minorHAnsi"/>
          <w:lang w:eastAsia="fr-FR"/>
        </w:rPr>
        <w:t xml:space="preserve"> l’appartenance de l’exploitation agricole à une démarche collective  de circuits de proximité.</w:t>
      </w:r>
    </w:p>
    <w:p w14:paraId="720EB748" w14:textId="31B95DD2" w:rsidR="00DC51C2" w:rsidRPr="00DC51C2" w:rsidRDefault="00DC51C2" w:rsidP="00DC51C2">
      <w:pPr>
        <w:pStyle w:val="Paragraphedeliste"/>
        <w:numPr>
          <w:ilvl w:val="0"/>
          <w:numId w:val="38"/>
        </w:num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 w:rsidRPr="00DC51C2">
        <w:rPr>
          <w:rFonts w:asciiTheme="minorHAnsi" w:eastAsia="Arial" w:hAnsiTheme="minorHAnsi" w:cstheme="minorHAnsi"/>
          <w:lang w:eastAsia="fr-FR"/>
        </w:rPr>
        <w:t>En complément, l’ARDEAR propose l’augmentation du nombre de points pour les investissements suivants : "transition énergétique" " augmentation de la valeur ajoutée" et "bâtiment en bois", les portant à 40 points.</w:t>
      </w:r>
    </w:p>
    <w:p w14:paraId="5D63D44E" w14:textId="59D48B7A" w:rsidR="00170541" w:rsidRDefault="00170541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</w:p>
    <w:p w14:paraId="0EFB4073" w14:textId="26802243" w:rsidR="00DC51C2" w:rsidRDefault="002B5CFE" w:rsidP="00170541">
      <w:pPr>
        <w:tabs>
          <w:tab w:val="left" w:pos="4654"/>
        </w:tabs>
        <w:jc w:val="both"/>
      </w:pPr>
      <w:r>
        <w:rPr>
          <w:rFonts w:asciiTheme="minorHAnsi" w:eastAsia="Arial" w:hAnsiTheme="minorHAnsi" w:cstheme="minorHAnsi"/>
          <w:lang w:eastAsia="fr-FR"/>
        </w:rPr>
        <w:t>L</w:t>
      </w:r>
      <w:r w:rsidR="00DC51C2" w:rsidRPr="00DC51C2">
        <w:rPr>
          <w:rFonts w:asciiTheme="minorHAnsi" w:eastAsia="Arial" w:hAnsiTheme="minorHAnsi" w:cstheme="minorHAnsi"/>
          <w:lang w:eastAsia="fr-FR"/>
        </w:rPr>
        <w:t>a Région encourage et priorise les agriculteurs qui sont adhérents à une démarche collective de circuits de proximité, c’est pourquoi ce critère bénéficie de 30 points.</w:t>
      </w:r>
      <w:r w:rsidR="00DC51C2" w:rsidRPr="00DC51C2">
        <w:t xml:space="preserve"> </w:t>
      </w:r>
    </w:p>
    <w:p w14:paraId="15F1D3B3" w14:textId="77777777" w:rsidR="00DC51C2" w:rsidRDefault="00DC51C2" w:rsidP="00170541">
      <w:pPr>
        <w:tabs>
          <w:tab w:val="left" w:pos="4654"/>
        </w:tabs>
        <w:jc w:val="both"/>
      </w:pPr>
    </w:p>
    <w:p w14:paraId="49F7AAAD" w14:textId="7BDA45FB" w:rsidR="00170541" w:rsidRDefault="00DC51C2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>
        <w:rPr>
          <w:rFonts w:asciiTheme="minorHAnsi" w:eastAsia="Arial" w:hAnsiTheme="minorHAnsi" w:cstheme="minorHAnsi"/>
          <w:lang w:eastAsia="fr-FR"/>
        </w:rPr>
        <w:t>Cependant, u</w:t>
      </w:r>
      <w:r w:rsidRPr="00DC51C2">
        <w:rPr>
          <w:rFonts w:asciiTheme="minorHAnsi" w:eastAsia="Arial" w:hAnsiTheme="minorHAnsi" w:cstheme="minorHAnsi"/>
          <w:lang w:eastAsia="fr-FR"/>
        </w:rPr>
        <w:t xml:space="preserve">ne évolution du nombre de points sur ce critère amènerait à revoir </w:t>
      </w:r>
      <w:r>
        <w:rPr>
          <w:rFonts w:asciiTheme="minorHAnsi" w:eastAsia="Arial" w:hAnsiTheme="minorHAnsi" w:cstheme="minorHAnsi"/>
          <w:lang w:eastAsia="fr-FR"/>
        </w:rPr>
        <w:t>l’ensemble du</w:t>
      </w:r>
      <w:r w:rsidRPr="00DC51C2">
        <w:rPr>
          <w:rFonts w:asciiTheme="minorHAnsi" w:eastAsia="Arial" w:hAnsiTheme="minorHAnsi" w:cstheme="minorHAnsi"/>
          <w:lang w:eastAsia="fr-FR"/>
        </w:rPr>
        <w:t xml:space="preserve"> classement des autres critères, en particulier les critères actuels notés à 40 points</w:t>
      </w:r>
      <w:r>
        <w:rPr>
          <w:rFonts w:asciiTheme="minorHAnsi" w:eastAsia="Arial" w:hAnsiTheme="minorHAnsi" w:cstheme="minorHAnsi"/>
          <w:lang w:eastAsia="fr-FR"/>
        </w:rPr>
        <w:t>, ce qui n’est pas envisagé à ce stade. Néanmoins, l’observation est bien notée par l’Autorité de gestion et ne manquera pas d’être examinée au moment opportun.</w:t>
      </w:r>
    </w:p>
    <w:p w14:paraId="7FBB985A" w14:textId="77777777" w:rsidR="00DC51C2" w:rsidRDefault="00DC51C2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</w:p>
    <w:p w14:paraId="56428A62" w14:textId="2328615F" w:rsidR="00DC51C2" w:rsidRDefault="00DC51C2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>
        <w:rPr>
          <w:rFonts w:asciiTheme="minorHAnsi" w:eastAsia="Arial" w:hAnsiTheme="minorHAnsi" w:cstheme="minorHAnsi"/>
          <w:lang w:eastAsia="fr-FR"/>
        </w:rPr>
        <w:t>De la même manière, la proposition concernant l’augmentation des points relatifs à la transition énergétique, à la valeur ajoutée et au bâtiment en bois, engendrerait la nécessité de réexaminer l’ensemble des autres critères. L’autorité de gestion prend néanmoins bonne note de cette remarque.</w:t>
      </w:r>
    </w:p>
    <w:p w14:paraId="47FE76A9" w14:textId="77777777" w:rsidR="00DC51C2" w:rsidRDefault="00DC51C2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</w:p>
    <w:p w14:paraId="35BB90ED" w14:textId="77777777" w:rsidR="00060308" w:rsidRPr="00060308" w:rsidRDefault="00DC51C2" w:rsidP="00DC51C2">
      <w:pPr>
        <w:pStyle w:val="Paragraphedeliste"/>
        <w:numPr>
          <w:ilvl w:val="0"/>
          <w:numId w:val="37"/>
        </w:numPr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>Avis du Département de l’Aude – Service environnement et agriculture du 19 juin 2025</w:t>
      </w:r>
      <w:r w:rsidRPr="00DC51C2">
        <w:rPr>
          <w:rFonts w:asciiTheme="minorHAnsi" w:hAnsiTheme="minorHAnsi" w:cstheme="minorHAnsi"/>
          <w:sz w:val="24"/>
          <w:szCs w:val="24"/>
        </w:rPr>
        <w:t xml:space="preserve"> concernant </w:t>
      </w: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>l’appartenance à la marque collective territoriale Pays Cathare</w:t>
      </w:r>
      <w:r>
        <w:rPr>
          <w:rFonts w:asciiTheme="minorHAnsi" w:eastAsia="Arial" w:hAnsiTheme="minorHAnsi" w:cstheme="minorHAnsi"/>
          <w:sz w:val="24"/>
          <w:szCs w:val="24"/>
          <w:lang w:eastAsia="fr-FR"/>
        </w:rPr>
        <w:t> :</w:t>
      </w: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  <w:lang w:eastAsia="fr-FR"/>
        </w:rPr>
        <w:t>cette marque n’étant plus</w:t>
      </w: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 xml:space="preserve"> reconnue</w:t>
      </w:r>
      <w:r w:rsidR="00060308">
        <w:rPr>
          <w:rFonts w:asciiTheme="minorHAnsi" w:eastAsia="Arial" w:hAnsiTheme="minorHAnsi" w:cstheme="minorHAnsi"/>
          <w:sz w:val="24"/>
          <w:szCs w:val="24"/>
          <w:lang w:eastAsia="fr-FR"/>
        </w:rPr>
        <w:t>,</w:t>
      </w: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 xml:space="preserve"> </w:t>
      </w:r>
      <w:r w:rsidR="00060308">
        <w:rPr>
          <w:rFonts w:asciiTheme="minorHAnsi" w:eastAsia="Arial" w:hAnsiTheme="minorHAnsi" w:cstheme="minorHAnsi"/>
          <w:sz w:val="24"/>
          <w:szCs w:val="24"/>
          <w:lang w:eastAsia="fr-FR"/>
        </w:rPr>
        <w:t>elle ne permet</w:t>
      </w:r>
      <w:r w:rsidRPr="00DC51C2">
        <w:rPr>
          <w:rFonts w:asciiTheme="minorHAnsi" w:eastAsia="Arial" w:hAnsiTheme="minorHAnsi" w:cstheme="minorHAnsi"/>
          <w:sz w:val="24"/>
          <w:szCs w:val="24"/>
          <w:lang w:eastAsia="fr-FR"/>
        </w:rPr>
        <w:t xml:space="preserve"> plus aux agriculteurs d’avoir des points supplémentaires pour la priorisation de leur dossier comme c’était le cas auparavant dans les anciens PCAE (Plan de Compétitivité et d’Adaptation des Exploitations Agricoles).</w:t>
      </w:r>
      <w:r w:rsidR="00060308" w:rsidRPr="00060308">
        <w:t xml:space="preserve"> </w:t>
      </w:r>
    </w:p>
    <w:p w14:paraId="44461422" w14:textId="2FF059A3" w:rsidR="00170541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  <w:r w:rsidRPr="00060308">
        <w:rPr>
          <w:rFonts w:asciiTheme="minorHAnsi" w:eastAsia="Arial" w:hAnsiTheme="minorHAnsi" w:cstheme="minorHAnsi"/>
          <w:sz w:val="24"/>
          <w:szCs w:val="24"/>
          <w:lang w:eastAsia="fr-FR"/>
        </w:rPr>
        <w:t xml:space="preserve">Diverses possibilités seraient envisageables dans la grille de sélection pour le critère « certification et labélisation » ou « démarche collective de circuits de proximité ».  </w:t>
      </w:r>
    </w:p>
    <w:p w14:paraId="32AB826E" w14:textId="4509129A" w:rsidR="00060308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</w:p>
    <w:p w14:paraId="081B7FCE" w14:textId="2202BDDB" w:rsidR="00060308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</w:p>
    <w:p w14:paraId="5E3A40FD" w14:textId="7BDC2038" w:rsidR="00060308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</w:p>
    <w:p w14:paraId="46CCFD47" w14:textId="411D6D3A" w:rsidR="00060308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</w:p>
    <w:p w14:paraId="20F41B25" w14:textId="77777777" w:rsidR="00060308" w:rsidRPr="00DC51C2" w:rsidRDefault="00060308" w:rsidP="00060308">
      <w:pPr>
        <w:pStyle w:val="Paragraphedeliste"/>
        <w:tabs>
          <w:tab w:val="left" w:pos="4654"/>
        </w:tabs>
        <w:jc w:val="both"/>
        <w:rPr>
          <w:rFonts w:asciiTheme="minorHAnsi" w:eastAsia="Arial" w:hAnsiTheme="minorHAnsi" w:cstheme="minorHAnsi"/>
          <w:sz w:val="24"/>
          <w:szCs w:val="24"/>
          <w:lang w:eastAsia="fr-FR"/>
        </w:rPr>
      </w:pPr>
    </w:p>
    <w:p w14:paraId="65B05E9B" w14:textId="77777777" w:rsidR="00060308" w:rsidRDefault="00060308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>
        <w:rPr>
          <w:rFonts w:asciiTheme="minorHAnsi" w:eastAsia="Arial" w:hAnsiTheme="minorHAnsi" w:cstheme="minorHAnsi"/>
          <w:lang w:eastAsia="fr-FR"/>
        </w:rPr>
        <w:lastRenderedPageBreak/>
        <w:t>En réponse, l</w:t>
      </w:r>
      <w:r w:rsidRPr="00060308">
        <w:rPr>
          <w:rFonts w:asciiTheme="minorHAnsi" w:eastAsia="Arial" w:hAnsiTheme="minorHAnsi" w:cstheme="minorHAnsi"/>
          <w:lang w:eastAsia="fr-FR"/>
        </w:rPr>
        <w:t>e critère n°5 ne concerne que les démarches collectives de commercialisation de produits agricoles en circuits courts</w:t>
      </w:r>
      <w:r>
        <w:rPr>
          <w:rFonts w:asciiTheme="minorHAnsi" w:eastAsia="Arial" w:hAnsiTheme="minorHAnsi" w:cstheme="minorHAnsi"/>
          <w:lang w:eastAsia="fr-FR"/>
        </w:rPr>
        <w:t xml:space="preserve">. </w:t>
      </w:r>
    </w:p>
    <w:p w14:paraId="38760A73" w14:textId="3A2A4F6E" w:rsidR="00170541" w:rsidRDefault="00060308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  <w:r>
        <w:rPr>
          <w:rFonts w:asciiTheme="minorHAnsi" w:eastAsia="Arial" w:hAnsiTheme="minorHAnsi" w:cstheme="minorHAnsi"/>
          <w:lang w:eastAsia="fr-FR"/>
        </w:rPr>
        <w:t>Cependant</w:t>
      </w:r>
      <w:r w:rsidRPr="00060308">
        <w:rPr>
          <w:rFonts w:asciiTheme="minorHAnsi" w:eastAsia="Arial" w:hAnsiTheme="minorHAnsi" w:cstheme="minorHAnsi"/>
          <w:lang w:eastAsia="fr-FR"/>
        </w:rPr>
        <w:t>, la démarche Qualité Pays Cathare fait partie des labels éligibles reconnus par la Région Occitanie pour les projets agritouristiques</w:t>
      </w:r>
      <w:r>
        <w:rPr>
          <w:rFonts w:asciiTheme="minorHAnsi" w:eastAsia="Arial" w:hAnsiTheme="minorHAnsi" w:cstheme="minorHAnsi"/>
          <w:lang w:eastAsia="fr-FR"/>
        </w:rPr>
        <w:t>.</w:t>
      </w:r>
    </w:p>
    <w:p w14:paraId="6FC97CCF" w14:textId="1FC5FCCC" w:rsidR="00060308" w:rsidRDefault="00060308" w:rsidP="00170541">
      <w:pPr>
        <w:tabs>
          <w:tab w:val="left" w:pos="4654"/>
        </w:tabs>
        <w:jc w:val="both"/>
        <w:rPr>
          <w:rFonts w:asciiTheme="minorHAnsi" w:eastAsia="Arial" w:hAnsiTheme="minorHAnsi" w:cstheme="minorHAnsi"/>
          <w:lang w:eastAsia="fr-FR"/>
        </w:rPr>
      </w:pPr>
    </w:p>
    <w:p w14:paraId="33E008C3" w14:textId="77777777" w:rsidR="008F2625" w:rsidRDefault="008F2625" w:rsidP="00D2286D">
      <w:pPr>
        <w:tabs>
          <w:tab w:val="left" w:pos="4654"/>
        </w:tabs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2800F11B" w14:textId="77777777" w:rsidR="000F5DAB" w:rsidRPr="00221F8B" w:rsidRDefault="000F5DAB" w:rsidP="000F5DA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outlineLvl w:val="0"/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</w:pPr>
      <w:r>
        <w:rPr>
          <w:rFonts w:asciiTheme="minorHAnsi" w:eastAsia="Calibri" w:hAnsiTheme="minorHAnsi" w:cstheme="minorHAnsi"/>
          <w:b/>
          <w:color w:val="366091"/>
          <w:sz w:val="28"/>
          <w:szCs w:val="28"/>
          <w:lang w:eastAsia="fr-FR"/>
        </w:rPr>
        <w:t>Conclusion du Comité régional de suivi Occitanie 2023-2027</w:t>
      </w:r>
    </w:p>
    <w:p w14:paraId="472E6BD4" w14:textId="77777777" w:rsidR="000F5DAB" w:rsidRDefault="000F5DAB" w:rsidP="000F5DAB">
      <w:pPr>
        <w:rPr>
          <w:rFonts w:asciiTheme="minorHAnsi" w:eastAsia="Arial" w:hAnsiTheme="minorHAnsi" w:cstheme="minorHAnsi"/>
          <w:sz w:val="22"/>
          <w:szCs w:val="22"/>
          <w:lang w:eastAsia="fr-FR"/>
        </w:rPr>
      </w:pPr>
    </w:p>
    <w:p w14:paraId="5AEB87BE" w14:textId="222EF28E" w:rsidR="000F5DAB" w:rsidRPr="00D467F3" w:rsidRDefault="0017295B" w:rsidP="000F5DAB">
      <w:pPr>
        <w:jc w:val="both"/>
        <w:rPr>
          <w:rFonts w:asciiTheme="minorHAnsi" w:eastAsia="Arial" w:hAnsiTheme="minorHAnsi" w:cstheme="minorHAnsi"/>
          <w:sz w:val="22"/>
          <w:szCs w:val="22"/>
          <w:lang w:eastAsia="fr-FR"/>
        </w:rPr>
      </w:pPr>
      <w:r w:rsidRPr="00D467F3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Au regard de ces éléments, </w:t>
      </w:r>
      <w:r w:rsidR="008F2625">
        <w:rPr>
          <w:rFonts w:asciiTheme="minorHAnsi" w:eastAsia="Arial" w:hAnsiTheme="minorHAnsi" w:cstheme="minorHAnsi"/>
          <w:sz w:val="22"/>
          <w:szCs w:val="22"/>
          <w:lang w:eastAsia="fr-FR"/>
        </w:rPr>
        <w:t>les grilles de sélection</w:t>
      </w:r>
      <w:r w:rsidRPr="00D467F3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 en annexe du présent document</w:t>
      </w:r>
      <w:r w:rsidR="008F4D1E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 </w:t>
      </w:r>
      <w:r w:rsidR="008F2625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sont </w:t>
      </w:r>
      <w:r w:rsidR="008F4D1E">
        <w:rPr>
          <w:rFonts w:asciiTheme="minorHAnsi" w:eastAsia="Arial" w:hAnsiTheme="minorHAnsi" w:cstheme="minorHAnsi"/>
          <w:sz w:val="22"/>
          <w:szCs w:val="22"/>
          <w:lang w:eastAsia="fr-FR"/>
        </w:rPr>
        <w:t>validée</w:t>
      </w:r>
      <w:r w:rsidR="008F2625">
        <w:rPr>
          <w:rFonts w:asciiTheme="minorHAnsi" w:eastAsia="Arial" w:hAnsiTheme="minorHAnsi" w:cstheme="minorHAnsi"/>
          <w:sz w:val="22"/>
          <w:szCs w:val="22"/>
          <w:lang w:eastAsia="fr-FR"/>
        </w:rPr>
        <w:t>s</w:t>
      </w:r>
      <w:r w:rsidR="000F5DAB" w:rsidRPr="00D467F3">
        <w:rPr>
          <w:rFonts w:asciiTheme="minorHAnsi" w:eastAsia="Arial" w:hAnsiTheme="minorHAnsi" w:cstheme="minorHAnsi"/>
          <w:sz w:val="22"/>
          <w:szCs w:val="22"/>
          <w:lang w:eastAsia="fr-FR"/>
        </w:rPr>
        <w:t xml:space="preserve">. </w:t>
      </w:r>
    </w:p>
    <w:p w14:paraId="7D76B5B4" w14:textId="0432DAFD" w:rsidR="008F2625" w:rsidRPr="007C0DF0" w:rsidRDefault="008F2625" w:rsidP="007C0DF0">
      <w:pPr>
        <w:jc w:val="both"/>
        <w:rPr>
          <w:rFonts w:asciiTheme="minorHAnsi" w:eastAsia="Arial" w:hAnsiTheme="minorHAnsi" w:cstheme="minorHAnsi"/>
          <w:lang w:eastAsia="fr-FR"/>
        </w:rPr>
      </w:pPr>
      <w:bookmarkStart w:id="2" w:name="_Hlk185934396"/>
      <w:bookmarkStart w:id="3" w:name="_Hlk124259017"/>
    </w:p>
    <w:bookmarkEnd w:id="2"/>
    <w:bookmarkEnd w:id="3"/>
    <w:sectPr w:rsidR="008F2625" w:rsidRPr="007C0DF0" w:rsidSect="00626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4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137E" w14:textId="77777777" w:rsidR="00980C95" w:rsidRDefault="00980C95" w:rsidP="00FB5CF9">
      <w:r>
        <w:separator/>
      </w:r>
    </w:p>
  </w:endnote>
  <w:endnote w:type="continuationSeparator" w:id="0">
    <w:p w14:paraId="697C4B6C" w14:textId="77777777" w:rsidR="00980C95" w:rsidRDefault="00980C95" w:rsidP="00FB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5FAF" w14:textId="77777777" w:rsidR="00980C95" w:rsidRDefault="00980C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9BF0" w14:textId="77777777" w:rsidR="00980C95" w:rsidRDefault="00980C9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010C" w14:textId="77777777" w:rsidR="00980C95" w:rsidRDefault="00980C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26E8" w14:textId="77777777" w:rsidR="00980C95" w:rsidRDefault="00980C95" w:rsidP="00FB5CF9">
      <w:r>
        <w:separator/>
      </w:r>
    </w:p>
  </w:footnote>
  <w:footnote w:type="continuationSeparator" w:id="0">
    <w:p w14:paraId="3E56DC6E" w14:textId="77777777" w:rsidR="00980C95" w:rsidRDefault="00980C95" w:rsidP="00FB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CE73" w14:textId="6A8E6697" w:rsidR="00980C95" w:rsidRDefault="00980C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5A5B" w14:textId="7402B127" w:rsidR="00980C95" w:rsidRDefault="00980C95">
    <w:pPr>
      <w:pStyle w:val="En-tte"/>
    </w:pPr>
    <w:r w:rsidRPr="009C11CC">
      <w:rPr>
        <w:rFonts w:asciiTheme="minorHAnsi" w:hAnsiTheme="minorHAnsi"/>
        <w:noProof/>
        <w:sz w:val="52"/>
        <w:szCs w:val="52"/>
        <w:lang w:eastAsia="fr-FR"/>
      </w:rPr>
      <w:drawing>
        <wp:anchor distT="0" distB="0" distL="114300" distR="114300" simplePos="0" relativeHeight="251659264" behindDoc="1" locked="0" layoutInCell="1" allowOverlap="1" wp14:anchorId="1FA3B553" wp14:editId="1B28AADF">
          <wp:simplePos x="0" y="0"/>
          <wp:positionH relativeFrom="column">
            <wp:posOffset>-731520</wp:posOffset>
          </wp:positionH>
          <wp:positionV relativeFrom="page">
            <wp:posOffset>-47947</wp:posOffset>
          </wp:positionV>
          <wp:extent cx="7600208" cy="10758761"/>
          <wp:effectExtent l="0" t="0" r="1270" b="5080"/>
          <wp:wrapNone/>
          <wp:docPr id="20" name="Image 20" descr="../OC-1804-ordre-du-jour-fondseuropeens-210x297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OC-1804-ordre-du-jour-fondseuropeens-210x297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208" cy="1075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DE8C" w14:textId="0791419A" w:rsidR="00980C95" w:rsidRDefault="00980C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58C"/>
    <w:multiLevelType w:val="hybridMultilevel"/>
    <w:tmpl w:val="8B5E389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2EA"/>
    <w:multiLevelType w:val="hybridMultilevel"/>
    <w:tmpl w:val="80C80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AAD"/>
    <w:multiLevelType w:val="hybridMultilevel"/>
    <w:tmpl w:val="EF32E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7B86"/>
    <w:multiLevelType w:val="hybridMultilevel"/>
    <w:tmpl w:val="BF2A3F42"/>
    <w:lvl w:ilvl="0" w:tplc="379E06BC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73D71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B617B1"/>
    <w:multiLevelType w:val="hybridMultilevel"/>
    <w:tmpl w:val="9F2A8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F59DE"/>
    <w:multiLevelType w:val="hybridMultilevel"/>
    <w:tmpl w:val="D5D87002"/>
    <w:lvl w:ilvl="0" w:tplc="379E06BC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60929"/>
    <w:multiLevelType w:val="hybridMultilevel"/>
    <w:tmpl w:val="390025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12530"/>
    <w:multiLevelType w:val="hybridMultilevel"/>
    <w:tmpl w:val="A0D46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028D"/>
    <w:multiLevelType w:val="hybridMultilevel"/>
    <w:tmpl w:val="C09CB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B0CD3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61649E"/>
    <w:multiLevelType w:val="hybridMultilevel"/>
    <w:tmpl w:val="D3D8B3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46389"/>
    <w:multiLevelType w:val="hybridMultilevel"/>
    <w:tmpl w:val="991E86D2"/>
    <w:lvl w:ilvl="0" w:tplc="3A8A3C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02183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7011A4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915BEC"/>
    <w:multiLevelType w:val="hybridMultilevel"/>
    <w:tmpl w:val="8FD2E3BA"/>
    <w:lvl w:ilvl="0" w:tplc="379E06BC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75AEE"/>
    <w:multiLevelType w:val="hybridMultilevel"/>
    <w:tmpl w:val="E1FAF736"/>
    <w:lvl w:ilvl="0" w:tplc="7C88E14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C70"/>
    <w:multiLevelType w:val="multilevel"/>
    <w:tmpl w:val="83B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1E444C"/>
    <w:multiLevelType w:val="hybridMultilevel"/>
    <w:tmpl w:val="9EC69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C0044"/>
    <w:multiLevelType w:val="hybridMultilevel"/>
    <w:tmpl w:val="718EA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6AA4"/>
    <w:multiLevelType w:val="hybridMultilevel"/>
    <w:tmpl w:val="1024983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319692E"/>
    <w:multiLevelType w:val="hybridMultilevel"/>
    <w:tmpl w:val="5E1AA9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165F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AF359E"/>
    <w:multiLevelType w:val="hybridMultilevel"/>
    <w:tmpl w:val="A518FDBE"/>
    <w:lvl w:ilvl="0" w:tplc="12CA217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3C3E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B12956"/>
    <w:multiLevelType w:val="hybridMultilevel"/>
    <w:tmpl w:val="26DE6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40E39"/>
    <w:multiLevelType w:val="hybridMultilevel"/>
    <w:tmpl w:val="A41A18FE"/>
    <w:lvl w:ilvl="0" w:tplc="379E06BC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37821"/>
    <w:multiLevelType w:val="hybridMultilevel"/>
    <w:tmpl w:val="DDA20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D330A"/>
    <w:multiLevelType w:val="hybridMultilevel"/>
    <w:tmpl w:val="5310E8D0"/>
    <w:lvl w:ilvl="0" w:tplc="03845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4E9E"/>
    <w:multiLevelType w:val="hybridMultilevel"/>
    <w:tmpl w:val="F4B68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C27D0"/>
    <w:multiLevelType w:val="multilevel"/>
    <w:tmpl w:val="A2AC1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ED1FA5"/>
    <w:multiLevelType w:val="hybridMultilevel"/>
    <w:tmpl w:val="67C46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6264"/>
    <w:multiLevelType w:val="hybridMultilevel"/>
    <w:tmpl w:val="71461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F17A1"/>
    <w:multiLevelType w:val="hybridMultilevel"/>
    <w:tmpl w:val="658E7F74"/>
    <w:lvl w:ilvl="0" w:tplc="FA960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60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09A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EAC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87F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44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A97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898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2F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348561B"/>
    <w:multiLevelType w:val="hybridMultilevel"/>
    <w:tmpl w:val="3A901E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8275C"/>
    <w:multiLevelType w:val="hybridMultilevel"/>
    <w:tmpl w:val="0C0CA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D6A36"/>
    <w:multiLevelType w:val="hybridMultilevel"/>
    <w:tmpl w:val="5D48FEC4"/>
    <w:lvl w:ilvl="0" w:tplc="0234C9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A6591"/>
    <w:multiLevelType w:val="hybridMultilevel"/>
    <w:tmpl w:val="8A345A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D30FA"/>
    <w:multiLevelType w:val="hybridMultilevel"/>
    <w:tmpl w:val="E08E2F00"/>
    <w:lvl w:ilvl="0" w:tplc="CDBC4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35"/>
  </w:num>
  <w:num w:numId="4">
    <w:abstractNumId w:val="26"/>
  </w:num>
  <w:num w:numId="5">
    <w:abstractNumId w:val="28"/>
  </w:num>
  <w:num w:numId="6">
    <w:abstractNumId w:val="12"/>
  </w:num>
  <w:num w:numId="7">
    <w:abstractNumId w:val="37"/>
  </w:num>
  <w:num w:numId="8">
    <w:abstractNumId w:val="22"/>
  </w:num>
  <w:num w:numId="9">
    <w:abstractNumId w:val="29"/>
  </w:num>
  <w:num w:numId="10">
    <w:abstractNumId w:val="24"/>
  </w:num>
  <w:num w:numId="11">
    <w:abstractNumId w:val="3"/>
  </w:num>
  <w:num w:numId="12">
    <w:abstractNumId w:val="20"/>
  </w:num>
  <w:num w:numId="13">
    <w:abstractNumId w:val="21"/>
  </w:num>
  <w:num w:numId="14">
    <w:abstractNumId w:val="2"/>
  </w:num>
  <w:num w:numId="15">
    <w:abstractNumId w:val="0"/>
  </w:num>
  <w:num w:numId="16">
    <w:abstractNumId w:val="36"/>
  </w:num>
  <w:num w:numId="17">
    <w:abstractNumId w:val="25"/>
  </w:num>
  <w:num w:numId="18">
    <w:abstractNumId w:val="8"/>
  </w:num>
  <w:num w:numId="19">
    <w:abstractNumId w:val="6"/>
  </w:num>
  <w:num w:numId="20">
    <w:abstractNumId w:val="15"/>
  </w:num>
  <w:num w:numId="21">
    <w:abstractNumId w:val="4"/>
  </w:num>
  <w:num w:numId="22">
    <w:abstractNumId w:val="16"/>
  </w:num>
  <w:num w:numId="23">
    <w:abstractNumId w:val="9"/>
  </w:num>
  <w:num w:numId="24">
    <w:abstractNumId w:val="13"/>
  </w:num>
  <w:num w:numId="25">
    <w:abstractNumId w:val="10"/>
  </w:num>
  <w:num w:numId="26">
    <w:abstractNumId w:val="23"/>
  </w:num>
  <w:num w:numId="27">
    <w:abstractNumId w:val="14"/>
  </w:num>
  <w:num w:numId="28">
    <w:abstractNumId w:val="33"/>
  </w:num>
  <w:num w:numId="29">
    <w:abstractNumId w:val="17"/>
  </w:num>
  <w:num w:numId="30">
    <w:abstractNumId w:val="32"/>
  </w:num>
  <w:num w:numId="31">
    <w:abstractNumId w:val="18"/>
  </w:num>
  <w:num w:numId="32">
    <w:abstractNumId w:val="7"/>
  </w:num>
  <w:num w:numId="33">
    <w:abstractNumId w:val="30"/>
  </w:num>
  <w:num w:numId="34">
    <w:abstractNumId w:val="31"/>
  </w:num>
  <w:num w:numId="35">
    <w:abstractNumId w:val="19"/>
  </w:num>
  <w:num w:numId="36">
    <w:abstractNumId w:val="11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4"/>
    <w:rsid w:val="00002B05"/>
    <w:rsid w:val="00004ABA"/>
    <w:rsid w:val="00010158"/>
    <w:rsid w:val="00035FEF"/>
    <w:rsid w:val="00037B9D"/>
    <w:rsid w:val="00043D8A"/>
    <w:rsid w:val="000445CD"/>
    <w:rsid w:val="000469EA"/>
    <w:rsid w:val="00052F42"/>
    <w:rsid w:val="000531B4"/>
    <w:rsid w:val="00056035"/>
    <w:rsid w:val="00060308"/>
    <w:rsid w:val="00063CBE"/>
    <w:rsid w:val="00064A0D"/>
    <w:rsid w:val="00064F23"/>
    <w:rsid w:val="00066377"/>
    <w:rsid w:val="00070F40"/>
    <w:rsid w:val="00090C5F"/>
    <w:rsid w:val="000A47ED"/>
    <w:rsid w:val="000C6B0F"/>
    <w:rsid w:val="000D72AB"/>
    <w:rsid w:val="000E50A5"/>
    <w:rsid w:val="000E78FD"/>
    <w:rsid w:val="000F5DAB"/>
    <w:rsid w:val="000F739C"/>
    <w:rsid w:val="0010421C"/>
    <w:rsid w:val="0010466A"/>
    <w:rsid w:val="00105EB0"/>
    <w:rsid w:val="00122535"/>
    <w:rsid w:val="00165D58"/>
    <w:rsid w:val="001704E2"/>
    <w:rsid w:val="00170541"/>
    <w:rsid w:val="0017295B"/>
    <w:rsid w:val="00174731"/>
    <w:rsid w:val="001838BF"/>
    <w:rsid w:val="00184B6A"/>
    <w:rsid w:val="00185A93"/>
    <w:rsid w:val="00186D0B"/>
    <w:rsid w:val="001A54DA"/>
    <w:rsid w:val="001B5656"/>
    <w:rsid w:val="001B5A90"/>
    <w:rsid w:val="00200B8D"/>
    <w:rsid w:val="002131FD"/>
    <w:rsid w:val="00215411"/>
    <w:rsid w:val="00222DB1"/>
    <w:rsid w:val="00250CE1"/>
    <w:rsid w:val="002619C9"/>
    <w:rsid w:val="002747A5"/>
    <w:rsid w:val="00277101"/>
    <w:rsid w:val="002925E0"/>
    <w:rsid w:val="00293526"/>
    <w:rsid w:val="002A4CFF"/>
    <w:rsid w:val="002A5A20"/>
    <w:rsid w:val="002B535D"/>
    <w:rsid w:val="002B5CFE"/>
    <w:rsid w:val="002C01C1"/>
    <w:rsid w:val="002C62D5"/>
    <w:rsid w:val="002C6590"/>
    <w:rsid w:val="002D7DD8"/>
    <w:rsid w:val="002E082C"/>
    <w:rsid w:val="002E604C"/>
    <w:rsid w:val="002F1652"/>
    <w:rsid w:val="002F787F"/>
    <w:rsid w:val="003200C9"/>
    <w:rsid w:val="00323C73"/>
    <w:rsid w:val="00326725"/>
    <w:rsid w:val="0032795A"/>
    <w:rsid w:val="00344B16"/>
    <w:rsid w:val="00354FD4"/>
    <w:rsid w:val="00384989"/>
    <w:rsid w:val="003A082D"/>
    <w:rsid w:val="003A3DDA"/>
    <w:rsid w:val="003B045E"/>
    <w:rsid w:val="003B1E43"/>
    <w:rsid w:val="003D00EA"/>
    <w:rsid w:val="003F055E"/>
    <w:rsid w:val="00406374"/>
    <w:rsid w:val="00407A0D"/>
    <w:rsid w:val="0041528E"/>
    <w:rsid w:val="00417EE4"/>
    <w:rsid w:val="004225C2"/>
    <w:rsid w:val="00422A3B"/>
    <w:rsid w:val="0042305B"/>
    <w:rsid w:val="0042386E"/>
    <w:rsid w:val="00432A3D"/>
    <w:rsid w:val="00435B59"/>
    <w:rsid w:val="00442956"/>
    <w:rsid w:val="004452FF"/>
    <w:rsid w:val="0045766F"/>
    <w:rsid w:val="00462BFB"/>
    <w:rsid w:val="004736F2"/>
    <w:rsid w:val="0048300C"/>
    <w:rsid w:val="00486FCF"/>
    <w:rsid w:val="00494843"/>
    <w:rsid w:val="004A7678"/>
    <w:rsid w:val="004B474E"/>
    <w:rsid w:val="004C3200"/>
    <w:rsid w:val="004C428A"/>
    <w:rsid w:val="004D6B64"/>
    <w:rsid w:val="004F00C5"/>
    <w:rsid w:val="004F09CE"/>
    <w:rsid w:val="00501E07"/>
    <w:rsid w:val="00504D53"/>
    <w:rsid w:val="0050544A"/>
    <w:rsid w:val="005070A0"/>
    <w:rsid w:val="005206C4"/>
    <w:rsid w:val="0053156F"/>
    <w:rsid w:val="005465A7"/>
    <w:rsid w:val="00565AF5"/>
    <w:rsid w:val="005734BE"/>
    <w:rsid w:val="00580C6F"/>
    <w:rsid w:val="00585222"/>
    <w:rsid w:val="005A3C7B"/>
    <w:rsid w:val="005B133E"/>
    <w:rsid w:val="005C18C4"/>
    <w:rsid w:val="005C5BB7"/>
    <w:rsid w:val="005D662D"/>
    <w:rsid w:val="005D7350"/>
    <w:rsid w:val="005E3F49"/>
    <w:rsid w:val="00601301"/>
    <w:rsid w:val="00611AC4"/>
    <w:rsid w:val="00626113"/>
    <w:rsid w:val="00634E53"/>
    <w:rsid w:val="0066037E"/>
    <w:rsid w:val="00661C0F"/>
    <w:rsid w:val="00670C19"/>
    <w:rsid w:val="006829E0"/>
    <w:rsid w:val="006902DA"/>
    <w:rsid w:val="00697B29"/>
    <w:rsid w:val="006A4D19"/>
    <w:rsid w:val="006C1EFF"/>
    <w:rsid w:val="006C2029"/>
    <w:rsid w:val="006C42D1"/>
    <w:rsid w:val="006D785C"/>
    <w:rsid w:val="00714050"/>
    <w:rsid w:val="00714138"/>
    <w:rsid w:val="00750A78"/>
    <w:rsid w:val="007516C8"/>
    <w:rsid w:val="00763BDF"/>
    <w:rsid w:val="007758CB"/>
    <w:rsid w:val="007A3B2C"/>
    <w:rsid w:val="007C0DF0"/>
    <w:rsid w:val="007D1A51"/>
    <w:rsid w:val="007D6CE6"/>
    <w:rsid w:val="008006A9"/>
    <w:rsid w:val="00802C57"/>
    <w:rsid w:val="00814E94"/>
    <w:rsid w:val="008154C1"/>
    <w:rsid w:val="00830119"/>
    <w:rsid w:val="00830822"/>
    <w:rsid w:val="00832D5A"/>
    <w:rsid w:val="00857E0D"/>
    <w:rsid w:val="00881310"/>
    <w:rsid w:val="008944B5"/>
    <w:rsid w:val="008B2B75"/>
    <w:rsid w:val="008B46A2"/>
    <w:rsid w:val="008C2B10"/>
    <w:rsid w:val="008C5273"/>
    <w:rsid w:val="008D3AA2"/>
    <w:rsid w:val="008E22ED"/>
    <w:rsid w:val="008E6970"/>
    <w:rsid w:val="008F2625"/>
    <w:rsid w:val="008F4D1E"/>
    <w:rsid w:val="008F5CFB"/>
    <w:rsid w:val="00900845"/>
    <w:rsid w:val="00900961"/>
    <w:rsid w:val="009127C2"/>
    <w:rsid w:val="00915ACF"/>
    <w:rsid w:val="0092023B"/>
    <w:rsid w:val="00921B16"/>
    <w:rsid w:val="009264C0"/>
    <w:rsid w:val="00933C97"/>
    <w:rsid w:val="00934A10"/>
    <w:rsid w:val="009360F1"/>
    <w:rsid w:val="00951932"/>
    <w:rsid w:val="00955BE2"/>
    <w:rsid w:val="00965530"/>
    <w:rsid w:val="00966B68"/>
    <w:rsid w:val="00980C95"/>
    <w:rsid w:val="009A257B"/>
    <w:rsid w:val="009C11CC"/>
    <w:rsid w:val="009C70BD"/>
    <w:rsid w:val="00A200F0"/>
    <w:rsid w:val="00A50FCB"/>
    <w:rsid w:val="00A525E2"/>
    <w:rsid w:val="00A5607B"/>
    <w:rsid w:val="00A76755"/>
    <w:rsid w:val="00AA3318"/>
    <w:rsid w:val="00AA43C5"/>
    <w:rsid w:val="00AB0AA6"/>
    <w:rsid w:val="00AD16E7"/>
    <w:rsid w:val="00AD5820"/>
    <w:rsid w:val="00AD7721"/>
    <w:rsid w:val="00AE6504"/>
    <w:rsid w:val="00AF364E"/>
    <w:rsid w:val="00B01E2A"/>
    <w:rsid w:val="00B100CB"/>
    <w:rsid w:val="00B12951"/>
    <w:rsid w:val="00B22A92"/>
    <w:rsid w:val="00B2653E"/>
    <w:rsid w:val="00B3040B"/>
    <w:rsid w:val="00B3341E"/>
    <w:rsid w:val="00B4409A"/>
    <w:rsid w:val="00B67624"/>
    <w:rsid w:val="00B7336C"/>
    <w:rsid w:val="00B830A2"/>
    <w:rsid w:val="00B86841"/>
    <w:rsid w:val="00B95719"/>
    <w:rsid w:val="00BA654A"/>
    <w:rsid w:val="00BB5629"/>
    <w:rsid w:val="00BC4693"/>
    <w:rsid w:val="00BD3D5A"/>
    <w:rsid w:val="00BF3C16"/>
    <w:rsid w:val="00C26620"/>
    <w:rsid w:val="00C34366"/>
    <w:rsid w:val="00C34B93"/>
    <w:rsid w:val="00C415A3"/>
    <w:rsid w:val="00C41E7C"/>
    <w:rsid w:val="00C45106"/>
    <w:rsid w:val="00C4668D"/>
    <w:rsid w:val="00C52716"/>
    <w:rsid w:val="00C6788D"/>
    <w:rsid w:val="00C70F66"/>
    <w:rsid w:val="00C74FDB"/>
    <w:rsid w:val="00C94FBE"/>
    <w:rsid w:val="00C971C3"/>
    <w:rsid w:val="00CA3534"/>
    <w:rsid w:val="00CB2F5E"/>
    <w:rsid w:val="00CB6B69"/>
    <w:rsid w:val="00CE15AC"/>
    <w:rsid w:val="00CE35F9"/>
    <w:rsid w:val="00D05BBE"/>
    <w:rsid w:val="00D05C09"/>
    <w:rsid w:val="00D115D2"/>
    <w:rsid w:val="00D12F41"/>
    <w:rsid w:val="00D2286D"/>
    <w:rsid w:val="00D40BEC"/>
    <w:rsid w:val="00D467F3"/>
    <w:rsid w:val="00D509D9"/>
    <w:rsid w:val="00D576F7"/>
    <w:rsid w:val="00D57DEE"/>
    <w:rsid w:val="00D745E6"/>
    <w:rsid w:val="00D76C5D"/>
    <w:rsid w:val="00D95FA6"/>
    <w:rsid w:val="00DA0A09"/>
    <w:rsid w:val="00DA0DD7"/>
    <w:rsid w:val="00DA68FE"/>
    <w:rsid w:val="00DB0CEF"/>
    <w:rsid w:val="00DB7917"/>
    <w:rsid w:val="00DC51C2"/>
    <w:rsid w:val="00DD22E8"/>
    <w:rsid w:val="00DD7953"/>
    <w:rsid w:val="00DE2F3B"/>
    <w:rsid w:val="00DF1CC8"/>
    <w:rsid w:val="00E14B2F"/>
    <w:rsid w:val="00E321C2"/>
    <w:rsid w:val="00E34580"/>
    <w:rsid w:val="00E3501A"/>
    <w:rsid w:val="00E401DB"/>
    <w:rsid w:val="00E444EB"/>
    <w:rsid w:val="00E47EA2"/>
    <w:rsid w:val="00E5214F"/>
    <w:rsid w:val="00E53027"/>
    <w:rsid w:val="00E5558A"/>
    <w:rsid w:val="00E602E6"/>
    <w:rsid w:val="00E61938"/>
    <w:rsid w:val="00E841B8"/>
    <w:rsid w:val="00E87DAC"/>
    <w:rsid w:val="00EA1068"/>
    <w:rsid w:val="00EB5849"/>
    <w:rsid w:val="00EC596C"/>
    <w:rsid w:val="00ED3058"/>
    <w:rsid w:val="00F01467"/>
    <w:rsid w:val="00F10325"/>
    <w:rsid w:val="00F12B1E"/>
    <w:rsid w:val="00F23450"/>
    <w:rsid w:val="00F34068"/>
    <w:rsid w:val="00F374CA"/>
    <w:rsid w:val="00F44141"/>
    <w:rsid w:val="00F52BBA"/>
    <w:rsid w:val="00F65251"/>
    <w:rsid w:val="00F73281"/>
    <w:rsid w:val="00F7662C"/>
    <w:rsid w:val="00F80C40"/>
    <w:rsid w:val="00F86C1B"/>
    <w:rsid w:val="00FA3A21"/>
    <w:rsid w:val="00FA5EC4"/>
    <w:rsid w:val="00FB5CF9"/>
    <w:rsid w:val="00FC12DA"/>
    <w:rsid w:val="00FD060D"/>
    <w:rsid w:val="00FD6909"/>
    <w:rsid w:val="00FE6703"/>
    <w:rsid w:val="00FE7250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A8AC3FD"/>
  <w15:docId w15:val="{FF4843E5-6BBC-49FE-9196-CE5BC927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DF0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A5EC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8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504D53"/>
    <w:pPr>
      <w:numPr>
        <w:numId w:val="8"/>
      </w:numPr>
      <w:spacing w:before="200"/>
      <w:jc w:val="left"/>
      <w:outlineLvl w:val="1"/>
    </w:pPr>
    <w:rPr>
      <w:rFonts w:cstheme="majorBidi"/>
      <w:color w:val="5B9BD5" w:themeColor="accent1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5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E444EB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customStyle="1" w:styleId="syn-label">
    <w:name w:val="syn-label"/>
    <w:basedOn w:val="Policepardfaut"/>
    <w:rsid w:val="00565AF5"/>
  </w:style>
  <w:style w:type="character" w:styleId="Lienhypertexte">
    <w:name w:val="Hyperlink"/>
    <w:basedOn w:val="Policepardfaut"/>
    <w:uiPriority w:val="99"/>
    <w:unhideWhenUsed/>
    <w:rsid w:val="00184B6A"/>
    <w:rPr>
      <w:color w:val="0563C1" w:themeColor="hyperlink"/>
      <w:u w:val="single"/>
    </w:rPr>
  </w:style>
  <w:style w:type="character" w:customStyle="1" w:styleId="lrzxr">
    <w:name w:val="lrzxr"/>
    <w:basedOn w:val="Policepardfaut"/>
    <w:rsid w:val="00293526"/>
  </w:style>
  <w:style w:type="character" w:customStyle="1" w:styleId="Policepardfaut1">
    <w:name w:val="Police par défaut1"/>
    <w:rsid w:val="009360F1"/>
  </w:style>
  <w:style w:type="paragraph" w:styleId="NormalWeb">
    <w:name w:val="Normal (Web)"/>
    <w:basedOn w:val="Normal"/>
    <w:uiPriority w:val="99"/>
    <w:unhideWhenUsed/>
    <w:rsid w:val="009A25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9A257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B5C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CF9"/>
  </w:style>
  <w:style w:type="paragraph" w:styleId="Pieddepage">
    <w:name w:val="footer"/>
    <w:basedOn w:val="Normal"/>
    <w:link w:val="PieddepageCar"/>
    <w:uiPriority w:val="99"/>
    <w:unhideWhenUsed/>
    <w:rsid w:val="00FB5C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CF9"/>
  </w:style>
  <w:style w:type="table" w:styleId="Grilledutableau">
    <w:name w:val="Table Grid"/>
    <w:basedOn w:val="TableauNormal"/>
    <w:uiPriority w:val="59"/>
    <w:rsid w:val="0092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A5EC4"/>
    <w:rPr>
      <w:rFonts w:asciiTheme="minorHAnsi" w:eastAsiaTheme="majorEastAsia" w:hAnsiTheme="minorHAnsi" w:cstheme="minorHAnsi"/>
      <w:b/>
      <w:bCs/>
      <w:color w:val="2E74B5" w:themeColor="accent1" w:themeShade="BF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504D53"/>
    <w:rPr>
      <w:rFonts w:ascii="Arial" w:eastAsiaTheme="majorEastAsia" w:hAnsi="Arial" w:cstheme="majorBidi"/>
      <w:b/>
      <w:bCs/>
      <w:color w:val="5B9BD5" w:themeColor="accent1"/>
      <w:sz w:val="22"/>
      <w:szCs w:val="22"/>
    </w:rPr>
  </w:style>
  <w:style w:type="table" w:customStyle="1" w:styleId="Grilledutableau1">
    <w:name w:val="Grille du tableau1"/>
    <w:basedOn w:val="TableauNormal"/>
    <w:next w:val="Grilledutableau"/>
    <w:uiPriority w:val="59"/>
    <w:rsid w:val="00FA5EC4"/>
    <w:rPr>
      <w:rFonts w:ascii="Calibri" w:eastAsia="SimSu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6C2029"/>
  </w:style>
  <w:style w:type="character" w:styleId="Marquedecommentaire">
    <w:name w:val="annotation reference"/>
    <w:basedOn w:val="Policepardfaut"/>
    <w:uiPriority w:val="99"/>
    <w:semiHidden/>
    <w:unhideWhenUsed/>
    <w:rsid w:val="004C42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C42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C42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2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28A"/>
    <w:rPr>
      <w:b/>
      <w:bCs/>
      <w:sz w:val="20"/>
      <w:szCs w:val="20"/>
    </w:rPr>
  </w:style>
  <w:style w:type="table" w:customStyle="1" w:styleId="Grilledutableau2">
    <w:name w:val="Grille du tableau2"/>
    <w:basedOn w:val="TableauNormal"/>
    <w:next w:val="Grilledutableau"/>
    <w:uiPriority w:val="59"/>
    <w:rsid w:val="00601301"/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00B8D"/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200B8D"/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200B8D"/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qFormat/>
    <w:rsid w:val="002619C9"/>
  </w:style>
  <w:style w:type="table" w:customStyle="1" w:styleId="Grilledutableau11">
    <w:name w:val="Grille du tableau11"/>
    <w:basedOn w:val="TableauNormal"/>
    <w:next w:val="Grilledutableau"/>
    <w:uiPriority w:val="59"/>
    <w:rsid w:val="008F2625"/>
    <w:rPr>
      <w:rFonts w:ascii="Calibri" w:eastAsia="SimSun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F2625"/>
    <w:rPr>
      <w:rFonts w:eastAsia="Calibri" w:cs="Times New Roman"/>
      <w:sz w:val="22"/>
      <w:szCs w:val="22"/>
    </w:rPr>
  </w:style>
  <w:style w:type="paragraph" w:styleId="Rvision">
    <w:name w:val="Revision"/>
    <w:hidden/>
    <w:uiPriority w:val="99"/>
    <w:semiHidden/>
    <w:rsid w:val="00D1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5</dc:creator>
  <cp:lastModifiedBy>MONNERAYE Christelle</cp:lastModifiedBy>
  <cp:revision>6</cp:revision>
  <cp:lastPrinted>2024-05-23T13:21:00Z</cp:lastPrinted>
  <dcterms:created xsi:type="dcterms:W3CDTF">2025-09-30T15:22:00Z</dcterms:created>
  <dcterms:modified xsi:type="dcterms:W3CDTF">2025-10-13T06:59:00Z</dcterms:modified>
</cp:coreProperties>
</file>